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128c08bb4ecbec1565d2d23a841b14c231113b"/>
    <w:p>
      <w:pPr>
        <w:pStyle w:val="Heading3"/>
      </w:pPr>
      <w:r>
        <w:t xml:space="preserve">Методические рекомендации по выявлению личной заинтересованности государственных и муниципальных служащих, работников при осуществлении закупок товаров, работ, услуг для обеспечения государственных и муниципальных нужд.</w:t>
      </w:r>
    </w:p>
    <w:p>
      <w:pPr>
        <w:pStyle w:val="FirstParagraph"/>
      </w:pPr>
      <w:r>
        <w:t xml:space="preserve">01.06.2020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http://rmr.mos.ru/anti-corruption-new/methodical-materials/detail/8934657.html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anti-corruption-new/methodical-materials/detail/89346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anti-corruption-new/methodical-materials/detail/89346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2025-07-27T09:35:13Z</dcterms:created>
  <dcterms:modified xsi:type="dcterms:W3CDTF">2025-07-27T09:35:13Z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