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01d41652991869bb497aa50a0115d5d25b7f1"/>
    <w:p>
      <w:pPr>
        <w:pStyle w:val="Heading3"/>
      </w:pPr>
      <w:r>
        <w:t xml:space="preserve">Типовые ситуации в сфере конфликта интересов, размещённые на официальном сайте Минтруда России в информационно-телекоммуникационной сети "Интернет"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hyperlink r:id="rId20">
        <w:r>
          <w:rPr>
            <w:rStyle w:val="Hyperlink"/>
          </w:rPr>
          <w:t xml:space="preserve">https://rosmintrud.ru/ministry/programms/anticorruption/9/13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http://rmr.mos.ru/anti-corruption-new/methodical-materials/detail/8991035.html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methodical-materials/detail/8991035.html" TargetMode="External" /><Relationship Type="http://schemas.openxmlformats.org/officeDocument/2006/relationships/hyperlink" Id="rId20" Target="https://rosmintrud.ru/ministry/programms/anticorruption/9/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methodical-materials/detail/8991035.html" TargetMode="External" /><Relationship Type="http://schemas.openxmlformats.org/officeDocument/2006/relationships/hyperlink" Id="rId20" Target="https://rosmintrud.ru/ministry/programms/anticorruption/9/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2025-07-27T09:28:39Z</dcterms:created>
  <dcterms:modified xsi:type="dcterms:W3CDTF">2025-07-27T09:28:39Z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