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bf52b80ee5c879913bb37811eef29fe696f00f"/>
    <w:p>
      <w:pPr>
        <w:pStyle w:val="Heading3"/>
      </w:pPr>
      <w:r>
        <w:t xml:space="preserve">В ТиНАО с начала года ввели тысячи «квадратов» промышленных объектов - Владимир Жидкин</w:t>
      </w:r>
    </w:p>
    <w:p>
      <w:pPr>
        <w:pStyle w:val="FirstParagraph"/>
      </w:pPr>
      <w:r>
        <w:t xml:space="preserve">12.07.2021</w:t>
      </w:r>
    </w:p>
    <w:bookmarkEnd w:id="20"/>
    <w:bookmarkStart w:id="22" w:name="Xb9d7e9ffe0a39bf86f35ba5fda975703b7fc3ad"/>
    <w:p>
      <w:pPr>
        <w:pStyle w:val="Heading2"/>
      </w:pPr>
      <w:r>
        <w:t xml:space="preserve">По словам главы Департамента развития новых территорий Москвы Владимира Жидкина, всего с 2012 года на территории округов ввели около 4,9 миллиона «квадратов» нежилых и коммерческих площадей.</w:t>
      </w:r>
    </w:p>
    <w:p>
      <w:pPr>
        <w:pStyle w:val="FirstParagraph"/>
      </w:pPr>
      <w:r>
        <w:t xml:space="preserve">Тренд на возведение коммерческой недвижимости, по мнению главы Департамента развития новых территорий Москвы </w:t>
      </w:r>
      <w:hyperlink r:id="rId21">
        <w:r>
          <w:rPr>
            <w:rStyle w:val="Hyperlink"/>
          </w:rPr>
          <w:t xml:space="preserve">Владимира Жидкина</w:t>
        </w:r>
      </w:hyperlink>
      <w:r>
        <w:t xml:space="preserve">, будет сохранен.</w:t>
      </w:r>
    </w:p>
    <w:p>
      <w:pPr>
        <w:pStyle w:val="BodyText"/>
      </w:pPr>
      <w:r>
        <w:t xml:space="preserve">Правила землепользования и застройки Москвы определяют, что в ближайшей перспективе в ТиНАО возможно строительство 35 миллионов квадратных метров нежилья.</w:t>
      </w:r>
    </w:p>
    <w:p>
      <w:pPr>
        <w:pStyle w:val="BodyText"/>
      </w:pPr>
      <w:r>
        <w:t xml:space="preserve">В ТиНАО созданы хорошие условия для ведения любого бизнеса: развитая дорожная сеть, метро, наличие всех необходимых коммуникаций.</w:t>
      </w:r>
    </w:p>
    <w:p>
      <w:pPr>
        <w:pStyle w:val="BodyText"/>
      </w:pPr>
      <w:r>
        <w:t xml:space="preserve">«Бизнес заметил и оценил позитивные изменения «рублем». Так объем внебюджетных инвестиций в строительство недвижимости, размещение объектов социальной, транспортной и инженерной инфраструктуры достиг порядка 1,6 триллиона рублей», — сообщил Владимир Жидкин.</w:t>
      </w:r>
    </w:p>
    <w:p>
      <w:pPr>
        <w:pStyle w:val="BodyText"/>
      </w:pPr>
      <w:r>
        <w:t xml:space="preserve">«Вводится достаточное количество офисных площадей, ведь в ТиНАО работает несколько сотен организаций, из них более 60 — крупные, средние и малые предприятия пищевой, фармацевтической, радиоэлектронной, машиностроительной и других отраслей. В результате за почти 9 лет здесь создано свыше 182 тысяч рабочих мест», — дополнил Владимир Жидкин.</w:t>
      </w:r>
    </w:p>
    <w:p>
      <w:pPr>
        <w:pStyle w:val="BodyText"/>
      </w:pPr>
      <w:r>
        <w:t xml:space="preserve">По словам руководителя ведомства, сформировалась следующая тройка лидеров: больше всего рабочих мест создано в сфере потребительского рынка и услуг, чуть меньше — в логистике и связи, примерно столько же — в топливно-энергетическом комплексе и строительстве.</w:t>
      </w:r>
    </w:p>
    <w:bookmarkEnd w:id="22"/>
    <w:bookmarkStart w:id="23" w:name="X0ef115e475f5a74ff44f681f6fcf6a950cb5b0f"/>
    <w:p>
      <w:pPr>
        <w:pStyle w:val="Heading2"/>
      </w:pPr>
      <w:r>
        <w:t xml:space="preserve">При этом в ведомстве неоднократно подчеркивали, что Правительство Москвы во главе с Мэром Москвы Сергеем Собяниным с самого начала проекта развития новых территорий держит курс на сбалансированное развитие новых округов при взаимных и общих усилиях всех участников процесса - основная идея предполагает создание сбалансированной и удобной для жизни среды во всех отношениях.  </w:t>
      </w:r>
    </w:p>
    <w:bookmarkEnd w:id="23"/>
    <w:bookmarkStart w:id="24" w:name="section"/>
    <w:p>
      <w:pPr>
        <w:pStyle w:val="Heading2"/>
      </w:pPr>
    </w:p>
    <w:bookmarkEnd w:id="24"/>
    <w:bookmarkStart w:id="27" w:name="section-1"/>
    <w:p>
      <w:pPr>
        <w:pStyle w:val="Heading2"/>
      </w:pPr>
    </w:p>
    <w:p>
      <w:pPr>
        <w:pStyle w:val="FirstParagraph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5">
        <w:r>
          <w:rPr>
            <w:rStyle w:val="Hyperlink"/>
          </w:rPr>
          <w:t xml:space="preserve">http://rmr.mos.ru/presscenter/news/detail/10100385.html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://rmr.mos.ru" TargetMode="External" /><Relationship Type="http://schemas.openxmlformats.org/officeDocument/2006/relationships/hyperlink" Id="rId25" Target="http://rmr.mos.ru/presscenter/news/detail/10100385.html" TargetMode="External" /><Relationship Type="http://schemas.openxmlformats.org/officeDocument/2006/relationships/hyperlink" Id="rId21" Target="safari-reader://stroi.mos.ru/organizations/52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rmr.mos.ru" TargetMode="External" /><Relationship Type="http://schemas.openxmlformats.org/officeDocument/2006/relationships/hyperlink" Id="rId25" Target="http://rmr.mos.ru/presscenter/news/detail/10100385.html" TargetMode="External" /><Relationship Type="http://schemas.openxmlformats.org/officeDocument/2006/relationships/hyperlink" Id="rId21" Target="safari-reader://stroi.mos.ru/organizations/52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2023-05-24T00:43:37Z</dcterms:created>
  <dcterms:modified xsi:type="dcterms:W3CDTF">2023-05-24T00:43:37Z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