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0" w:name="X1202a07d9781d2f50d5d16c82024eab0a9b4f48"/>
    <w:p>
      <w:pPr>
        <w:pStyle w:val="Heading3"/>
      </w:pPr>
      <w:r>
        <w:t xml:space="preserve">Владимир Жидкин: 200 тыс. рабочих мест создано в ТиНАО с 2012 года</w:t>
      </w:r>
    </w:p>
    <w:p>
      <w:pPr>
        <w:pStyle w:val="FirstParagraph"/>
      </w:pPr>
      <w:r>
        <w:t xml:space="preserve">15.07.2021</w:t>
      </w:r>
    </w:p>
    <w:bookmarkEnd w:id="20"/>
    <w:bookmarkStart w:id="22" w:name="section"/>
    <w:p>
      <w:pPr>
        <w:pStyle w:val="Heading2"/>
      </w:pPr>
    </w:p>
    <w:p>
      <w:pPr>
        <w:pStyle w:val="FirstParagraph"/>
      </w:pPr>
      <w:r>
        <w:t xml:space="preserve">Рост показателя дохода бюджета Новой Москвы за 9 лет составил 200%. Для сравнения: аналогичный показатель Московской области за этот период составил 43%, сообщил руководитель Департамента развития новых территорий столицы Владимир Жидкин.</w:t>
      </w:r>
    </w:p>
    <w:p>
      <w:pPr>
        <w:pStyle w:val="BodyText"/>
      </w:pPr>
      <w:r>
        <w:t xml:space="preserve">«Столь быстрый рост стал возможен благодаря успешной реализации приоритетной задачи – созданию рабочих мест. Численность занятых в экономике Новой Москвы увеличилась на 214%. В Московской области за этот период показатель вырос всего на 21%», – рассказал участникам и гостям прошедшего Московского урбанистического форума (МУФ) Владимир Жидкин.</w:t>
      </w:r>
    </w:p>
    <w:bookmarkStart w:id="21" w:name="sas_48311"/>
    <w:bookmarkEnd w:id="21"/>
    <w:p>
      <w:pPr>
        <w:pStyle w:val="BodyText"/>
      </w:pPr>
      <w:r>
        <w:t xml:space="preserve">Он добавил, что население Новой Москвы выросло более чем в два раза, прибавив 300 тысяч. Одновременно было создано 180 тыс. рабочих мест.</w:t>
      </w:r>
    </w:p>
    <w:p>
      <w:pPr>
        <w:pStyle w:val="BodyText"/>
      </w:pPr>
      <w:r>
        <w:t xml:space="preserve">Динамика прироста населения и налоговых сборов округов - отличный показатель успешности проекта Новой Москвы. В настоящий момент отчетливо заметно, что поручения Мэра Москвы Сергея Собянина по сбалансированному и гармоничному развитию округов исполняются полноценно.</w:t>
      </w:r>
    </w:p>
    <w:bookmarkEnd w:id="22"/>
    <w:bookmarkStart w:id="23" w:name="section-1"/>
    <w:p>
      <w:pPr>
        <w:pStyle w:val="Heading2"/>
      </w:pPr>
    </w:p>
    <w:bookmarkEnd w:id="23"/>
    <w:bookmarkStart w:id="26" w:name="section-2"/>
    <w:p>
      <w:pPr>
        <w:pStyle w:val="Heading2"/>
      </w:pPr>
    </w:p>
    <w:p>
      <w:pPr>
        <w:pStyle w:val="FirstParagraph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4">
        <w:r>
          <w:rPr>
            <w:rStyle w:val="Hyperlink"/>
          </w:rPr>
          <w:t xml:space="preserve">http://rmr.mos.ru/presscenter/news/detail/10109638.html</w:t>
        </w:r>
      </w:hyperlink>
    </w:p>
    <w:p>
      <w:pPr>
        <w:pStyle w:val="BodyText"/>
      </w:pPr>
      <w:hyperlink r:id="rId25">
        <w:r>
          <w:rPr>
            <w:rStyle w:val="Hyperlink"/>
          </w:rPr>
          <w:t xml:space="preserve">ГКУ города Москвы «Развитие Московского региона»</w:t>
        </w:r>
      </w:hyperlink>
    </w:p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5" Target="http://rmr.mos.ru" TargetMode="External" /><Relationship Type="http://schemas.openxmlformats.org/officeDocument/2006/relationships/hyperlink" Id="rId24" Target="http://rmr.mos.ru/presscenter/news/detail/1010963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5" Target="http://rmr.mos.ru" TargetMode="External" /><Relationship Type="http://schemas.openxmlformats.org/officeDocument/2006/relationships/hyperlink" Id="rId24" Target="http://rmr.mos.ru/presscenter/news/detail/1010963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2024-11-24T03:28:02Z</dcterms:created>
  <dcterms:modified xsi:type="dcterms:W3CDTF">2024-11-24T03:28:02Z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