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53f98a38f433dee9c92a0c6ec32770bb530f0e"/>
    <w:p>
      <w:pPr>
        <w:pStyle w:val="Heading3"/>
      </w:pPr>
      <w:r>
        <w:t xml:space="preserve">В Новой Москве планируется построить стадион для регби, учебный комплекс и деловые центры – Владимир Жидкин</w:t>
      </w:r>
    </w:p>
    <w:p>
      <w:pPr>
        <w:pStyle w:val="FirstParagraph"/>
      </w:pPr>
      <w:r>
        <w:t xml:space="preserve">05.08.2021</w:t>
      </w:r>
    </w:p>
    <w:bookmarkEnd w:id="20"/>
    <w:bookmarkStart w:id="23" w:name="X11f062b41f3323149f005695444f127bbf16e09"/>
    <w:p>
      <w:pPr>
        <w:pStyle w:val="Heading2"/>
      </w:pPr>
      <w:r>
        <w:t xml:space="preserve">Градостроительно-земельная комиссия города Москвы, возглавляемая Сергеем Собяниным, одобрила подготовку соответствующего проекта планировки территории.</w:t>
      </w:r>
    </w:p>
    <w:p>
      <w:pPr>
        <w:pStyle w:val="FirstParagraph"/>
      </w:pPr>
      <w:r>
        <w:t xml:space="preserve">Инвестор ООО «Румянцево» планирует разместить в районе деревни Румянцево в ТиНАО общественно-жилую застройку с рядом интересных объектов: стадион для регби с трибунами на 5000 мест, детский сад на 180 мест и школа на 350 мест. Также планируется возвести два общественно-деловых центра и деловой центр с офисными помещениями. Также в составе проекта планировки территории предусмотрят развитие транспортной инфраструктуры. Реализация проекта позволит создать более 3,3 тысячи разноплановых рабочих мест.</w:t>
      </w:r>
    </w:p>
    <w:p>
      <w:pPr>
        <w:pStyle w:val="BodyText"/>
      </w:pPr>
      <w:r>
        <w:t xml:space="preserve">С начала года в ТиНАО, по словам руководителя столичного Департамента развития новых территорий </w:t>
      </w:r>
      <w:hyperlink r:id="rId21">
        <w:r>
          <w:rPr>
            <w:rStyle w:val="Hyperlink"/>
          </w:rPr>
          <w:t xml:space="preserve">Владимира Жидкина,</w:t>
        </w:r>
      </w:hyperlink>
      <w:r>
        <w:t xml:space="preserve"> ввели свыше 388 тысяч «квадратов» социальных и промышленных объектов.</w:t>
      </w:r>
    </w:p>
    <w:p>
      <w:pPr>
        <w:pStyle w:val="BodyText"/>
      </w:pPr>
      <w:r>
        <w:t xml:space="preserve">С 2012 года на территории Новой Москвы за счет средств города и внебюджетных источников спроектировали, построили и ввели в эксплуатацию 92 </w:t>
      </w:r>
      <w:hyperlink r:id="rId22">
        <w:r>
          <w:rPr>
            <w:rStyle w:val="Hyperlink"/>
          </w:rPr>
          <w:t xml:space="preserve">социальных объекта:</w:t>
        </w:r>
      </w:hyperlink>
      <w:r>
        <w:t xml:space="preserve"> 57 дошкольных учебных заведений, 20 школ и 15 объектов здравоохранения. На каждый объект, построенный в рамках реализации Адресной инвестиционной программы, приходится четыре инвесторских объекта.</w:t>
      </w:r>
    </w:p>
    <w:p>
      <w:pPr>
        <w:pStyle w:val="BodyText"/>
      </w:pPr>
      <w:r>
        <w:t xml:space="preserve">По итогам 2021 года в ТиНАО введут более 570 тысяч «квадратов» социальных и промышленных объектов. Все это позволит создать еще около 10 тысяч новых рабочих мест.</w:t>
      </w:r>
    </w:p>
    <w:p>
      <w:pPr>
        <w:pStyle w:val="BodyText"/>
      </w:pPr>
      <w:r>
        <w:br/>
      </w:r>
    </w:p>
    <w:bookmarkEnd w:id="23"/>
    <w:bookmarkStart w:id="27" w:name="section"/>
    <w:p>
      <w:pPr>
        <w:pStyle w:val="Heading2"/>
      </w:pPr>
    </w:p>
    <w:bookmarkStart w:id="26" w:name="section-1"/>
    <w:p>
      <w:pPr>
        <w:pStyle w:val="Heading4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http://rmr.mos.ru/presscenter/news/detail/10160117.html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rmr.mos.ru" TargetMode="External" /><Relationship Type="http://schemas.openxmlformats.org/officeDocument/2006/relationships/hyperlink" Id="rId24" Target="http://rmr.mos.ru/presscenter/news/detail/10160117.html" TargetMode="External" /><Relationship Type="http://schemas.openxmlformats.org/officeDocument/2006/relationships/hyperlink" Id="rId22" Target="https://stroi.mos.ru/new-moscow/stroitelstvo-novyh-socialnyh-obektov" TargetMode="External" /><Relationship Type="http://schemas.openxmlformats.org/officeDocument/2006/relationships/hyperlink" Id="rId21" Target="https://stroi.mos.ru/organization-personalities/1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rmr.mos.ru" TargetMode="External" /><Relationship Type="http://schemas.openxmlformats.org/officeDocument/2006/relationships/hyperlink" Id="rId24" Target="http://rmr.mos.ru/presscenter/news/detail/10160117.html" TargetMode="External" /><Relationship Type="http://schemas.openxmlformats.org/officeDocument/2006/relationships/hyperlink" Id="rId22" Target="https://stroi.mos.ru/new-moscow/stroitelstvo-novyh-socialnyh-obektov" TargetMode="External" /><Relationship Type="http://schemas.openxmlformats.org/officeDocument/2006/relationships/hyperlink" Id="rId21" Target="https://stroi.mos.ru/organization-personalities/1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2023-10-20T04:12:58Z</dcterms:created>
  <dcterms:modified xsi:type="dcterms:W3CDTF">2023-10-20T04:12:58Z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