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ee50289d4eedf89f1ae3e52528232d11149b8d3"/>
    <w:p>
      <w:pPr>
        <w:pStyle w:val="Heading3"/>
      </w:pPr>
      <w:r>
        <w:t xml:space="preserve">Владимир Жидкин: к концу 2023 года объем налоговой базы в ТиНАО достигнет 90 миллиардов рублей</w:t>
      </w:r>
    </w:p>
    <w:p>
      <w:pPr>
        <w:pStyle w:val="FirstParagraph"/>
      </w:pPr>
      <w:r>
        <w:t xml:space="preserve">23.11.2021</w:t>
      </w:r>
    </w:p>
    <w:bookmarkEnd w:id="20"/>
    <w:bookmarkStart w:id="23" w:name="X2983d6f17578fa718e65ede7610ab5a48804ec1"/>
    <w:p>
      <w:pPr>
        <w:pStyle w:val="Heading3"/>
      </w:pPr>
      <w:r>
        <w:t xml:space="preserve">По словам главы Департамента развития новых территорий Москвы Владимира Жидкина, с начала года в Новой Москве ввели более 382 тысяч квадратных метров промышленных объектов.</w:t>
      </w:r>
    </w:p>
    <w:p>
      <w:pPr>
        <w:pStyle w:val="FirstParagraph"/>
      </w:pPr>
      <w:r>
        <w:t xml:space="preserve">К наиболее крупным инфраструктурным объектам, введенным с начала года, можно отнести фитнес-клуб с бассейном в Коммунарке, офисно-складской комплекс в Щербинке общей площадью свыше 51 тысячи «квадратов», производственно-складской комплекс в деревне Саларьево и гараж-автостоянка на 1050 машино-мест с встроенными торгово-сервисными помещениями в городе Московский.</w:t>
      </w:r>
    </w:p>
    <w:p>
      <w:pPr>
        <w:pStyle w:val="BodyText"/>
      </w:pPr>
      <w:hyperlink r:id="rId21">
        <w:r>
          <w:rPr>
            <w:rStyle w:val="Hyperlink"/>
          </w:rPr>
          <w:t xml:space="preserve">Владимир Жидкин</w:t>
        </w:r>
      </w:hyperlink>
      <w:r>
        <w:t xml:space="preserve"> отметил, что в </w:t>
      </w:r>
      <w:hyperlink r:id="rId22">
        <w:r>
          <w:rPr>
            <w:rStyle w:val="Hyperlink"/>
          </w:rPr>
          <w:t xml:space="preserve">Новой Москве</w:t>
        </w:r>
      </w:hyperlink>
      <w:r>
        <w:t xml:space="preserve"> инвесторы активно осваивают и придомовые коммерческие территории. «К примеру, в ЖК «Москвичка», расположенном в Сосенском поселении, на первых этажах после заселения всех жилых домов откроется более 50 предприятий торговой, бытовой, сервисной и социальной инфраструктуры. На территории комплекса уже работают супермаркеты «Магнит», «Пятерочка», «ВкусВилл», «Верный», пекарня «Буханка», пункт выдачи интернет-заказов OZON и многие другие объекты», — добавил он.</w:t>
      </w:r>
    </w:p>
    <w:p>
      <w:pPr>
        <w:pStyle w:val="BodyText"/>
      </w:pPr>
      <w:r>
        <w:t xml:space="preserve">— Мы развиваем сотрудничество не только с крупными торговыми сетями, ведется работа и с начинающими инвесторами. Набор помещений самый разный — от флористического салона до медицинского центра, — рассказал глава столичного департамента.</w:t>
      </w:r>
    </w:p>
    <w:p>
      <w:pPr>
        <w:pStyle w:val="BodyText"/>
      </w:pPr>
      <w:r>
        <w:t xml:space="preserve">При этом с 2012 года здесь создано порядка 180 тысяч новых мест приложения труда, что позволяет говорить о более чем 3-хкратном росте. На момент присоединения новых территорий в их границах существовало 84,8 тысячи мест приложения труда.</w:t>
      </w:r>
    </w:p>
    <w:p>
      <w:pPr>
        <w:pStyle w:val="BodyText"/>
      </w:pPr>
      <w:r>
        <w:t xml:space="preserve">Растет и налогооблагаемая база. К концу 2023 года ее объем составит не менее 90 миллиардов рублей, в 2032 году — около 16 миллиардов рублей.</w:t>
      </w:r>
    </w:p>
    <w:p>
      <w:pPr>
        <w:pStyle w:val="BodyText"/>
      </w:pPr>
      <w:r>
        <w:t xml:space="preserve">Ранее Мэр Москвы Сергей Собянин рассказал, что с начала года в столице сдано почти 1,6 миллиона квадратных метров недвижимости коммерческого назначения.</w:t>
      </w:r>
    </w:p>
    <w:p>
      <w:pPr>
        <w:pStyle w:val="BodyText"/>
      </w:pPr>
      <w:r>
        <w:t xml:space="preserve">— Комплексное развитие территорий — ключевой принцип градостроительной политики столицы. Это значит, что вместе со строительством нового жилья в городе активно развивается транспортная и социальная инфраструктура, появляются рабочие места в шаговой доступности. Так, с начала года в Москве введено почти 1,6 миллиона квадратных метров недвижимости коммерческого назначения, которая даст городу дополнительные рабочие места, — сказал </w:t>
      </w:r>
      <w:r>
        <w:t xml:space="preserve">градоначальник.</w:t>
      </w:r>
    </w:p>
    <w:p>
      <w:pPr>
        <w:pStyle w:val="BodyText"/>
      </w:pPr>
    </w:p>
    <w:bookmarkEnd w:id="23"/>
    <w:bookmarkStart w:id="24" w:name="section"/>
    <w:p>
      <w:pPr>
        <w:pStyle w:val="Heading2"/>
      </w:pPr>
    </w:p>
    <w:bookmarkEnd w:id="24"/>
    <w:bookmarkStart w:id="25" w:name="section-1"/>
    <w:p>
      <w:pPr>
        <w:pStyle w:val="Heading2"/>
      </w:pPr>
    </w:p>
    <w:bookmarkEnd w:id="25"/>
    <w:bookmarkStart w:id="26" w:name="section-2"/>
    <w:p>
      <w:pPr>
        <w:pStyle w:val="Heading2"/>
      </w:pPr>
    </w:p>
    <w:bookmarkEnd w:id="26"/>
    <w:p>
      <w:pPr>
        <w:pStyle w:val="FirstParagraph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7">
        <w:r>
          <w:rPr>
            <w:rStyle w:val="Hyperlink"/>
          </w:rPr>
          <w:t xml:space="preserve">http://rmr.mos.ru/presscenter/news/detail/10418024.html</w:t>
        </w:r>
      </w:hyperlink>
    </w:p>
    <w:p>
      <w:pPr>
        <w:pStyle w:val="BodyText"/>
      </w:pPr>
      <w:hyperlink r:id="rId28">
        <w:r>
          <w:rPr>
            <w:rStyle w:val="Hyperlink"/>
          </w:rPr>
          <w:t xml:space="preserve">ГКУ города Москвы «Развитие Московского региона»</w:t>
        </w:r>
      </w:hyperlink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8" Target="http://rmr.mos.ru" TargetMode="External" /><Relationship Type="http://schemas.openxmlformats.org/officeDocument/2006/relationships/hyperlink" Id="rId27" Target="http://rmr.mos.ru/presscenter/news/detail/10418024.html" TargetMode="External" /><Relationship Type="http://schemas.openxmlformats.org/officeDocument/2006/relationships/hyperlink" Id="rId21" Target="safari-reader://stroi.mos.ru/organizations/520" TargetMode="External" /><Relationship Type="http://schemas.openxmlformats.org/officeDocument/2006/relationships/hyperlink" Id="rId22" Target="safari-reader://stroi.mos.ru/organizations/796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8" Target="http://rmr.mos.ru" TargetMode="External" /><Relationship Type="http://schemas.openxmlformats.org/officeDocument/2006/relationships/hyperlink" Id="rId27" Target="http://rmr.mos.ru/presscenter/news/detail/10418024.html" TargetMode="External" /><Relationship Type="http://schemas.openxmlformats.org/officeDocument/2006/relationships/hyperlink" Id="rId21" Target="safari-reader://stroi.mos.ru/organizations/520" TargetMode="External" /><Relationship Type="http://schemas.openxmlformats.org/officeDocument/2006/relationships/hyperlink" Id="rId22" Target="safari-reader://stroi.mos.ru/organizations/796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2024-07-16T10:04:46Z</dcterms:created>
  <dcterms:modified xsi:type="dcterms:W3CDTF">2024-07-16T10:04:46Z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