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c169491afe2975a0d4201f4d18c1a0bc4b21b2"/>
    <w:p>
      <w:pPr>
        <w:pStyle w:val="Heading3"/>
      </w:pPr>
      <w:r>
        <w:t xml:space="preserve">После сдачи второй очереди количество резидентов Comcity вырастет до 16 тысяч – Владимир Жидкин</w:t>
      </w:r>
    </w:p>
    <w:p>
      <w:pPr>
        <w:pStyle w:val="FirstParagraph"/>
      </w:pPr>
      <w:r>
        <w:t xml:space="preserve">04.02.2022</w:t>
      </w:r>
    </w:p>
    <w:bookmarkEnd w:id="20"/>
    <w:bookmarkStart w:id="22" w:name="section"/>
    <w:p>
      <w:pPr>
        <w:pStyle w:val="Heading2"/>
      </w:pPr>
      <w:bookmarkStart w:id="21" w:name="Xce67f11deeccd2e051b887be4ca28407ef75be5"/>
      <w:r>
        <w:t xml:space="preserve"> </w:t>
      </w:r>
      <w:bookmarkEnd w:id="21"/>
    </w:p>
    <w:bookmarkEnd w:id="22"/>
    <w:bookmarkStart w:id="24" w:name="section-1"/>
    <w:p>
      <w:pPr>
        <w:pStyle w:val="Heading2"/>
      </w:pPr>
      <w:bookmarkStart w:id="23" w:name="Xce67f11deeccd2e051b887be4ca28407ef75be5"/>
      <w:r>
        <w:t xml:space="preserve"> </w:t>
      </w:r>
      <w:bookmarkEnd w:id="23"/>
    </w:p>
    <w:bookmarkEnd w:id="24"/>
    <w:bookmarkStart w:id="31" w:name="X1ec6049fa78d385f1a734184b01a720b900a0a9"/>
    <w:p>
      <w:pPr>
        <w:pStyle w:val="Heading2"/>
      </w:pPr>
      <w:r>
        <w:t xml:space="preserve">Вторую очередь офисного парка Comcity − «Браво» − введут в эксплуатацию в первой половине 2022 года, сообщил глава Департамента развития новых территорий Москвы Владимир Жидкин.</w:t>
      </w:r>
    </w:p>
    <w:p>
      <w:pPr>
        <w:pStyle w:val="FirstParagraph"/>
      </w:pPr>
      <w:r>
        <w:t xml:space="preserve">Она будет включать в себя два офисных здания на 61 тыс. кв. метров, четырехзвездочную гостиницу на 150 номеров, торговую галерею, подземный и наземный паркинг.</w:t>
      </w:r>
    </w:p>
    <w:p>
      <w:pPr>
        <w:pStyle w:val="BodyText"/>
      </w:pPr>
      <w:r>
        <w:t xml:space="preserve">Застройщик − PPF Real Estate Russia. Для резидентов Comcity уже доступны две столовые, более 15 кафе и ресторанов, супермаркет, аптека, банк, салон красоты, фитнес-центр, а также коворкинг бизнес-класса. Количество машиномест превысит 3,5 тысячи.</w:t>
      </w:r>
    </w:p>
    <w:p>
      <w:pPr>
        <w:pStyle w:val="BodyText"/>
      </w:pPr>
      <w:r>
        <w:t xml:space="preserve">«Comcity стал первым в ТиНАО проектом, созданным по концепции «Город в городе». Этот формат востребован среди крупных компаний телеком- и IТ-сферы, поскольку такие арендаторы требовательны к технологической составляющей объекта. Здесь достигнута наивысшая заполняемость созданных рабочих мест, − сказал </w:t>
      </w:r>
      <w:r>
        <w:rPr>
          <w:bCs/>
          <w:b/>
        </w:rPr>
        <w:t xml:space="preserve">Владимир Жидкин</w:t>
      </w:r>
      <w:r>
        <w:t xml:space="preserve">.</w:t>
      </w:r>
    </w:p>
    <w:p>
      <w:pPr>
        <w:pStyle w:val="BodyText"/>
      </w:pPr>
      <w:r>
        <w:t xml:space="preserve">После сдачи второй очереди площадью 103 тыс. кв. метров количество резидентов Comcity вырастет до 16 тысяч. Отличительная особенность этой очереди офисного парка − площадка с гибкими офисами, вмещающая до 450 рабочих мест. Она будет расположена на 3-м этаже здания B2. В процессе развития проекта собственная инфраструктура Comcity будет увеличена до 10 тыс. кв. метров.</w:t>
      </w:r>
    </w:p>
    <w:p>
      <w:pPr>
        <w:pStyle w:val="BodyText"/>
      </w:pPr>
      <w:r>
        <w:t xml:space="preserve">«Мы в полной мере поддерживаем проект и расширение его инфраструктуры, поскольку он целиком укладывается в стратегию развития новых территорий. Comcity победил в номинации «Зеленый кирпич» премии в сфере коммерческой недвижимости CRE Federal Awards 2021. Этой премии удостаиваются экологичные бизнес-проекты» − добавил </w:t>
      </w:r>
      <w:r>
        <w:rPr>
          <w:bCs/>
          <w:b/>
        </w:rPr>
        <w:t xml:space="preserve">Жидкин.</w:t>
      </w:r>
    </w:p>
    <w:p>
      <w:pPr>
        <w:pStyle w:val="BodyText"/>
      </w:pPr>
      <w:r>
        <w:t xml:space="preserve">Напомним, в Новой Москве инвесторы строят не только</w:t>
      </w:r>
      <w:hyperlink r:id="rId25">
        <w:r>
          <w:rPr>
            <w:rStyle w:val="Hyperlink"/>
          </w:rPr>
          <w:t xml:space="preserve"> жилье</w:t>
        </w:r>
      </w:hyperlink>
      <w:r>
        <w:t xml:space="preserve">, но коммерческую недвижимость, </w:t>
      </w:r>
      <w:hyperlink r:id="rId26">
        <w:r>
          <w:rPr>
            <w:rStyle w:val="Hyperlink"/>
          </w:rPr>
          <w:t xml:space="preserve">детские сады</w:t>
        </w:r>
      </w:hyperlink>
      <w:r>
        <w:t xml:space="preserve">, </w:t>
      </w:r>
      <w:hyperlink r:id="rId27">
        <w:r>
          <w:rPr>
            <w:rStyle w:val="Hyperlink"/>
          </w:rPr>
          <w:t xml:space="preserve">школы</w:t>
        </w:r>
      </w:hyperlink>
      <w:r>
        <w:t xml:space="preserve">, промышленные объекты. Благодаря этому открываются новые рабочие места.</w:t>
      </w:r>
    </w:p>
    <w:p>
      <w:pPr>
        <w:pStyle w:val="BodyText"/>
      </w:pPr>
    </w:p>
    <w:p>
      <w:pPr>
        <w:pStyle w:val="BodyText"/>
      </w:pPr>
      <w:r>
        <w:t xml:space="preserve">Объем инвестиций в округа к настоящему времени составляет 2,2 трлн рублей. Из них только 0,6 трлн составляют средства из бюджета города. При этом под строительство производственных объектов землю город выделяет практически бесплатно.</w:t>
      </w:r>
    </w:p>
    <w:p>
      <w:pPr>
        <w:pStyle w:val="BodyText"/>
      </w:pPr>
      <w:r>
        <w:t xml:space="preserve">«Здесь, в Comcity, мы видим один из образцов того, как надо вкладывать инвестиции: первоклассные офисные помещения, гостиницы, объекты соцкультбыта, </w:t>
      </w:r>
      <w:hyperlink r:id="rId25">
        <w:r>
          <w:rPr>
            <w:rStyle w:val="Hyperlink"/>
          </w:rPr>
          <w:t xml:space="preserve">жилье</w:t>
        </w:r>
      </w:hyperlink>
      <w:r>
        <w:t xml:space="preserve">. Все это, по большому счету, город в городе. Причем это хорошего качества объекты, одни из самых лучших. Просто уникальный комплекс для </w:t>
      </w:r>
      <w:hyperlink r:id="rId28">
        <w:r>
          <w:rPr>
            <w:rStyle w:val="Hyperlink"/>
          </w:rPr>
          <w:t xml:space="preserve">Новой Москвы</w:t>
        </w:r>
      </w:hyperlink>
      <w:r>
        <w:t xml:space="preserve">», – сказал ранее Мэр Москвы</w:t>
      </w:r>
      <w:r>
        <w:t xml:space="preserve"> </w:t>
      </w:r>
      <w:r>
        <w:rPr>
          <w:bCs/>
          <w:b/>
        </w:rPr>
        <w:t xml:space="preserve">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http://rmr.mos.ru/presscenter/news/detail/10599286.html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rmr.mos.ru" TargetMode="External" /><Relationship Type="http://schemas.openxmlformats.org/officeDocument/2006/relationships/hyperlink" Id="rId29" Target="http://rmr.mos.ru/presscenter/news/detail/10599286.html" TargetMode="External" /><Relationship Type="http://schemas.openxmlformats.org/officeDocument/2006/relationships/hyperlink" Id="rId26" Target="safari-reader://stroi.mos.ru/detskie-sady-1" TargetMode="External" /><Relationship Type="http://schemas.openxmlformats.org/officeDocument/2006/relationships/hyperlink" Id="rId28" Target="safari-reader://stroi.mos.ru/new-moscow" TargetMode="External" /><Relationship Type="http://schemas.openxmlformats.org/officeDocument/2006/relationships/hyperlink" Id="rId27" Target="safari-reader://stroi.mos.ru/stroitelstvo-shkol-i-bnk" TargetMode="External" /><Relationship Type="http://schemas.openxmlformats.org/officeDocument/2006/relationships/hyperlink" Id="rId25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rmr.mos.ru" TargetMode="External" /><Relationship Type="http://schemas.openxmlformats.org/officeDocument/2006/relationships/hyperlink" Id="rId29" Target="http://rmr.mos.ru/presscenter/news/detail/10599286.html" TargetMode="External" /><Relationship Type="http://schemas.openxmlformats.org/officeDocument/2006/relationships/hyperlink" Id="rId26" Target="safari-reader://stroi.mos.ru/detskie-sady-1" TargetMode="External" /><Relationship Type="http://schemas.openxmlformats.org/officeDocument/2006/relationships/hyperlink" Id="rId28" Target="safari-reader://stroi.mos.ru/new-moscow" TargetMode="External" /><Relationship Type="http://schemas.openxmlformats.org/officeDocument/2006/relationships/hyperlink" Id="rId27" Target="safari-reader://stroi.mos.ru/stroitelstvo-shkol-i-bnk" TargetMode="External" /><Relationship Type="http://schemas.openxmlformats.org/officeDocument/2006/relationships/hyperlink" Id="rId25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2024-07-16T23:01:34Z</dcterms:created>
  <dcterms:modified xsi:type="dcterms:W3CDTF">2024-07-16T23:01:34Z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