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5e1da40a841a64bd57557807cc5f6a7cf399c9"/>
    <w:p>
      <w:pPr>
        <w:pStyle w:val="Heading3"/>
      </w:pPr>
      <w:r>
        <w:t xml:space="preserve">Новая Москва возглавила рейтинг сделок с недвижимостью</w:t>
      </w:r>
    </w:p>
    <w:p>
      <w:pPr>
        <w:pStyle w:val="FirstParagraph"/>
      </w:pPr>
      <w:r>
        <w:t xml:space="preserve">23.04.2025</w:t>
      </w:r>
    </w:p>
    <w:p>
      <w:pPr>
        <w:pStyle w:val="BodyText"/>
      </w:pPr>
      <w:r>
        <w:t xml:space="preserve">Новая Москва лидирует по числу зарегистрированных договоров долевого участия (ДДУ) в отношении жилой и нежилой недвижимости в феврале,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рейтинг был составлен Управлением Росреестра по Москве.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«Троицкий и Новомосковский административные округа сохранили лидирующую позицию по заключению сделок на первичном рынке недвижимости. В ТиНАО в феврале оформили свыше 2,6 тыс. сделок, что составляет 23,3% от заключенных в столице договоров. Также в первой тройке оказались ЮАО и ЗАО, на которые пришлись 14,3% и 14,2% сделок соответственно»,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Всего в январе-феврале в городе зарегистрировано более 20 тыс. договоров долевого участия. Четверть всех сделок – свыше 5,2 тыс. ДДУ – оформлено в ТиНАО.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втором и третьем местах оказались Западный и Южный административные округа, где зарегистрировано около 3 тыс. ДДУ (14,7%) и более 2,7 тыс. ДДУ (13%) соответственно.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«За январь-февраль этого года на первую пятерку округов пришлось почти 74% договоров долевого участия. На административные округа, занявшие с шестой по 11 строчки рейтинга – около 26% сделок, что менее чем на 1% превышает показатель ТиНАО», – добавил руководитель Управления Росреестра по Москве Игорь Майданов.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Защиту прав и законных интересов участников долевого строительства в столице обеспечивает Мосгосстройнадзор.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рамках дистанционного мониторинга наши специалисты анализируют все проекты, реализуемые с привлечением средств дольщиков. Ежеквартально они делятся на три категории риска в зависимости от соблюдения застройщиками сроков строительства, финансовой дисциплины, порядка оформления документации и предоставления отчетности», – отметил председатель надзорного ведомства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ТиНАО предлагает широкий выбор жилья – от малоэтажного и индивидуального до многоэтажного.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первых этажах жилых комплексов проектируют помещения для размещения магазинов, аптек, фитнес-центров, детских кружков, салонов мебели и текстиля, кафе-кондитерских, пиццерий и других коммерческих предприятий. Благодаря этому в ТиНАО уже созданы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Также с начала года в Новой Москве ввели в эксплуатацию более 133 тыс. кв. м нежилой недвижимости.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Москвы Владимир Жидкин подчеркнул, что с 2012 года в ТиНАО благодаря стратегии Мэра Москвы Сергея Собянина удалось добиться впечатляющих результатов по строительству нежилых объектов, в первую очередь – школ, детских садов и поликлиник.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Проектами образовательных учреждений предусмотрены просторные, комфортные классы и аудитории с удобными партами, планшетами и смарт-досками, места для отдыха, общения и творчества.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http://rmr.mos.ru/presscenter/news/detail/12931400.html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14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14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2025-08-04T08:17:04Z</dcterms:created>
  <dcterms:modified xsi:type="dcterms:W3CDTF">2025-08-04T08:17:04Z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