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d6be51626225784459128afc0d6e884c3b7d0"/>
    <w:p>
      <w:pPr>
        <w:pStyle w:val="Heading3"/>
      </w:pPr>
      <w:r>
        <w:t xml:space="preserve">Первичный рынок недвижимости Москвы: ТиНАО впереди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Новая Москва лидирует по числу зарегистрированных договоров долевого участия (ДДУ) в отношении жилой и нежилой недвижимости в феврале, сообщил заместитель мэра столицы по вопросам градостроительной политики и строительства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уточнил, что рейтинг был составлен Управлением Росреестра по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«Троицкий и Новомосковский административные округа сохранили лидирующую позицию по заключению сделок на первичном рынке недвижимости. В ТиНАО в феврале оформили свыше 2,6 тыс. сделок, что составляет 23,3% от заключенных в столице договоров. Также в первой тройке оказались ЮАО и ЗАО, на которые пришлись 14,3% и 14,2% сделок соответственно», – сказал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январе-феврале в городе зарегистрировано более 20 тыс. договоров долевого участия. Четверть всех сделок – свыше 5,2 тыс. ДДУ – оформлено в ТиНАО.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втором и третьем местах оказались Западный и Южный административные округа, где зарегистрировано около 3 тыс. ДДУ (14,7%) и более 2,7 тыс. ДДУ (13%) соответственно.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«За январь-февраль этого года на первую пятерку округов пришлось почти 74% договоров долевого участия. На административные округа, занявшие с шестой по 11 строчки рейтинга – около 26% сделок, что менее чем на 1% превышает показатель ТиНАО», – добавил руководитель Управления Росреестра по Москве Игорь Майданов.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Защиту прав и законных интересов участников долевого строительства в столице обеспечивает Мосгосстройнадзор.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рамках дистанционного мониторинга наши специалисты анализируют все проекты, реализуемые с привлечением средств дольщиков. Ежеквартально они делятся на три категории риска в зависимости от соблюдения застройщиками сроков строительства, финансовой дисциплины, порядка оформления документации и предоставления отчетности», – отметил председатель надзорного ведомства Антон Слободчиков.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ТиНАО предлагает широкий выбор жилья – от малоэтажного и индивидуального до многоэтажного.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первых этажах жилых комплексов проектируют помещения для размещения магазинов, аптек, фитнес-центров, детских кружков, салонов мебели и текстиля, кафе-кондитерских, пиццерий и других коммерческих предприятий. Благодаря этому в ТиНАО уже созданы десятки тысяч рабочих мест в шаговой доступности для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с начала года в Новой Москве ввели в эксплуатацию более 133 тыс. кв. м нежилой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Руководитель Департамента развития новых территорий Москвы Владимир Жидкин подчеркнул, что с 2012 года в ТиНАО благодаря стратегии Мэра Москвы Сергея Собянина удалось добиться впечатляющих результатов по строительству нежилых объектов, в первую очередь – школ, детских садов и поликлиник.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Проектами образовательных учреждений предусмотрены просторные, комфортные классы и аудитории с удобными партами, планшетами и смарт-досками, места для отдыха, общения и творчества.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http://rmr.mos.ru/presscenter/news/detail/12931423.html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931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931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2025-04-23T13:16:23Z</dcterms:created>
  <dcterms:modified xsi:type="dcterms:W3CDTF">2025-04-23T13:16:23Z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