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c70e323ff8c6cf71610a7c07f3c4ba436feca2"/>
    <w:p>
      <w:pPr>
        <w:pStyle w:val="Heading3"/>
      </w:pPr>
      <w:r>
        <w:t xml:space="preserve">Cтратегия развития Новой Москвы дает результаты</w:t>
      </w:r>
    </w:p>
    <w:p>
      <w:pPr>
        <w:pStyle w:val="FirstParagraph"/>
      </w:pPr>
      <w:r>
        <w:t xml:space="preserve">23.04.2025</w:t>
      </w:r>
    </w:p>
    <w:p>
      <w:pPr>
        <w:pStyle w:val="BodyText"/>
      </w:pPr>
      <w:r>
        <w:t xml:space="preserve">Новая Москва лидирует по числу зарегистрированных договоров долевого участия (ДДУ) в отношении жилой и нежилой недвижимости в феврале, сообщил заместитель мэра столицы по вопросам градостроительной политики и строительства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рейтинг был составлен Управлением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«Троицкий и Новомосковский административные округа сохранили лидирующую позицию по заключению сделок на первичном рынке недвижимости. В ТиНАО в феврале оформили свыше 2,6 тыс. сделок, что составляет 23,3% от заключенных в столице договоров. Также в первой тройке оказались ЮАО и ЗАО, на которые пришлись 14,3% и 14,2% сделок соответственно», – сказал Владимир Ефимов.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Всего в январе-феврале в городе зарегистрировано более 20 тыс. договоров долевого участия. Четверть всех сделок – свыше 5,2 тыс. ДДУ – оформлено в ТиНАО.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втором и третьем местах оказались Западный и Южный административные округа, где зарегистрировано около 3 тыс. ДДУ (14,7%) и более 2,7 тыс. ДДУ (13%) соответственно.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январь-февраль этого года на первую пятерку округов пришлось почти 74% договоров долевого участия. На административные округа, занявшие с шестой по 11 строчки рейтинга – около 26% сделок, что менее чем на 1% превышает показатель ТиНАО», – добавил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Защиту прав и законных интересов участников долевого строительства в столице обеспечивает Мосгосстройнадзор.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рамках дистанционного мониторинга наши специалисты анализируют все проекты, реализуемые с привлечением средств дольщиков. Ежеквартально они делятся на три категории риска в зависимости от соблюдения застройщиками сроков строительства, финансовой дисциплины, порядка оформления документации и предоставления отчетности», – отметил председатель надзорного ведомства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ТиНАО предлагает широкий выбор жилья – от малоэтажного и индивидуального до многоэтажного.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первых этажах жилых комплексов проектируют помещения для размещения магазинов, аптек, фитнес-центров, детских кружков, салонов мебели и текстиля, кафе-кондитерских, пиццерий и других коммерческих предприятий. Благодаря этому в ТиНАО уже созданы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с начала года в Новой Москве ввели в эксплуатацию более 133 тыс. кв. м нежилой недвижимости.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Руководитель Департамента развития новых территорий Москвы Владимир Жидкин подчеркнул, что с 2012 года в ТиНАО благодаря стратегии Мэра Москвы Сергея Собянина удалось добиться впечатляющих результатов по строительству нежилых объектов, в первую очередь – школ, детских садов и поликлиник.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Проектами образовательных учреждений предусмотрены просторные, комфортные классы и аудитории с удобными партами, планшетами и смарт-досками, места для отдыха, общения и творчества.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http://rmr.mos.ru/presscenter/news/detail/12931429.html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14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2025-04-23T13:45:17Z</dcterms:created>
  <dcterms:modified xsi:type="dcterms:W3CDTF">2025-04-23T13:45:17Z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