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1f6f3206e70324f9833c82aeba11ea9af236fd"/>
    <w:p>
      <w:pPr>
        <w:pStyle w:val="Heading3"/>
      </w:pPr>
      <w:r>
        <w:t xml:space="preserve">От магазинов до фитнес-центров: коммерция в шаговой доступности в ТиНАО</w:t>
      </w:r>
    </w:p>
    <w:p>
      <w:pPr>
        <w:pStyle w:val="FirstParagraph"/>
      </w:pPr>
      <w:r>
        <w:t xml:space="preserve">23.04.2025</w:t>
      </w:r>
    </w:p>
    <w:p>
      <w:pPr>
        <w:pStyle w:val="BodyText"/>
      </w:pPr>
      <w:r>
        <w:t xml:space="preserve">Новая Москва лидирует по числу зарегистрированных договоров долевого участия (ДДУ) в отношении жилой и нежилой недвижимости в феврале,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рейтинг был составлен Управлением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«Троицкий и Новомосковский административные округа сохранили лидирующую позицию по заключению сделок на первичном рынке недвижимости. В ТиНАО в феврале оформили свыше 2,6 тыс. сделок, что составляет 23,3% от заключенных в столице договоров. Также в первой тройке оказались ЮАО и ЗАО, на которые пришлись 14,3% и 14,2% сделок соответственно»,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в январе-феврале в городе зарегистрировано более 20 тыс. договоров долевого участия. Четверть всех сделок – свыше 5,2 тыс. ДДУ – оформлено в ТиНАО.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втором и третьем местах оказались Западный и Южный административные округа, где зарегистрировано около 3 тыс. ДДУ (14,7%) и более 2,7 тыс. ДДУ (13%) соответственно.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январь-февраль этого года на первую пятерку округов пришлось почти 74% договоров долевого участия. На административные округа, занявшие с шестой по 11 строчки рейтинга – около 26% сделок, что менее чем на 1% превышает показатель ТиНАО», – добавил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Защиту прав и законных интересов участников долевого строительства в столице обеспечивает Мосгосстройнадзор.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рамках дистанционного мониторинга наши специалисты анализируют все проекты, реализуемые с привлечением средств дольщиков. Ежеквартально они делятся на три категории риска в зависимости от соблюдения застройщиками сроков строительства, финансовой дисциплины, порядка оформления документации и предоставления отчетности», – отметил председатель надзорного ведомства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ТиНАО предлагает широкий выбор жилья – от малоэтажного и индивидуального до многоэтажного.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первых этажах жилых комплексов проектируют помещения для размещения магазинов, аптек, фитнес-центров, детских кружков, салонов мебели и текстиля, кафе-кондитерских, пиццерий и других коммерческих предприятий. Благодаря этому в ТиНАО уже созданы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с начала года в Новой Москве ввели в эксплуатацию более 133 тыс. кв. м нежилой недвижимости.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Москвы Владимир Жидкин подчеркнул, что с 2012 года в ТиНАО благодаря стратегии Мэра Москвы Сергея Собянина удалось добиться впечатляющих результатов по строительству нежилых объектов, в первую очередь – школ, детских садов и поликлиник.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Проектами образовательных учреждений предусмотрены просторные, комфортные классы и аудитории с удобными партами, планшетами и смарт-досками, места для отдыха, общения и творчества.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http://rmr.mos.ru/presscenter/news/detail/12931445.html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2025-07-30T17:40:56Z</dcterms:created>
  <dcterms:modified xsi:type="dcterms:W3CDTF">2025-07-30T17:40:56Z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